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4C" w:rsidRPr="007F72F0" w:rsidRDefault="0049244C" w:rsidP="007F72F0">
      <w:pPr>
        <w:jc w:val="center"/>
        <w:rPr>
          <w:b/>
          <w:bCs/>
          <w:color w:val="00B050"/>
          <w:sz w:val="72"/>
          <w:szCs w:val="72"/>
        </w:rPr>
      </w:pPr>
      <w:r w:rsidRPr="005E7AAC">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72.6pt;height:81pt;visibility:visible">
            <v:imagedata r:id="rId7" o:title=""/>
          </v:shape>
        </w:pict>
      </w:r>
      <w:r w:rsidRPr="00B34D37">
        <w:rPr>
          <w:bCs/>
          <w:color w:val="00B050"/>
          <w:sz w:val="72"/>
          <w:szCs w:val="72"/>
        </w:rPr>
        <w:t>Positive Progress Tuition</w:t>
      </w:r>
    </w:p>
    <w:p w:rsidR="0049244C" w:rsidRDefault="0049244C" w:rsidP="007633C3">
      <w:pPr>
        <w:spacing w:after="0" w:line="240" w:lineRule="auto"/>
        <w:jc w:val="center"/>
        <w:rPr>
          <w:rFonts w:ascii="Arial" w:hAnsi="Arial" w:cs="Arial"/>
          <w:color w:val="000000"/>
          <w:sz w:val="32"/>
          <w:szCs w:val="32"/>
          <w:lang w:eastAsia="en-GB"/>
        </w:rPr>
      </w:pPr>
    </w:p>
    <w:p w:rsidR="0049244C" w:rsidRDefault="0049244C" w:rsidP="007633C3">
      <w:pPr>
        <w:spacing w:after="0" w:line="240" w:lineRule="auto"/>
        <w:jc w:val="center"/>
        <w:rPr>
          <w:rFonts w:ascii="Arial" w:hAnsi="Arial" w:cs="Arial"/>
          <w:color w:val="000000"/>
          <w:sz w:val="32"/>
          <w:szCs w:val="32"/>
          <w:lang w:eastAsia="en-GB"/>
        </w:rPr>
      </w:pPr>
    </w:p>
    <w:p w:rsidR="0049244C" w:rsidRDefault="0049244C" w:rsidP="007633C3">
      <w:pPr>
        <w:spacing w:after="0" w:line="240" w:lineRule="auto"/>
        <w:jc w:val="center"/>
        <w:rPr>
          <w:rFonts w:ascii="Arial" w:hAnsi="Arial" w:cs="Arial"/>
          <w:color w:val="000000"/>
          <w:sz w:val="32"/>
          <w:szCs w:val="32"/>
          <w:lang w:eastAsia="en-GB"/>
        </w:rPr>
      </w:pPr>
    </w:p>
    <w:p w:rsidR="0049244C" w:rsidRDefault="0049244C" w:rsidP="007633C3">
      <w:pPr>
        <w:spacing w:after="0" w:line="240" w:lineRule="auto"/>
        <w:jc w:val="center"/>
        <w:rPr>
          <w:rFonts w:ascii="Arial" w:hAnsi="Arial" w:cs="Arial"/>
          <w:color w:val="000000"/>
          <w:sz w:val="32"/>
          <w:szCs w:val="32"/>
          <w:lang w:eastAsia="en-GB"/>
        </w:rPr>
      </w:pPr>
    </w:p>
    <w:p w:rsidR="0049244C" w:rsidRDefault="0049244C" w:rsidP="004524FA">
      <w:pPr>
        <w:spacing w:after="0" w:line="240" w:lineRule="auto"/>
        <w:rPr>
          <w:rFonts w:ascii="Arial" w:hAnsi="Arial" w:cs="Arial"/>
          <w:color w:val="000000"/>
          <w:sz w:val="32"/>
          <w:szCs w:val="32"/>
          <w:lang w:eastAsia="en-GB"/>
        </w:rPr>
      </w:pPr>
    </w:p>
    <w:p w:rsidR="0049244C" w:rsidRDefault="0049244C"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49244C" w:rsidRDefault="0049244C" w:rsidP="007633C3">
      <w:pPr>
        <w:spacing w:after="0" w:line="240" w:lineRule="auto"/>
        <w:jc w:val="center"/>
        <w:rPr>
          <w:rFonts w:ascii="Times New Roman" w:hAnsi="Times New Roman"/>
          <w:sz w:val="24"/>
          <w:szCs w:val="24"/>
          <w:lang w:eastAsia="en-GB"/>
        </w:rPr>
      </w:pPr>
      <w:r>
        <w:rPr>
          <w:rFonts w:ascii="Arial" w:hAnsi="Arial" w:cs="Arial"/>
          <w:b/>
          <w:bCs/>
          <w:color w:val="000000"/>
          <w:sz w:val="44"/>
          <w:szCs w:val="44"/>
          <w:lang w:eastAsia="en-GB"/>
        </w:rPr>
        <w:t>Business Continuity Plan (BCP)</w:t>
      </w:r>
      <w:r w:rsidRPr="007633C3">
        <w:rPr>
          <w:rFonts w:ascii="Arial" w:hAnsi="Arial" w:cs="Arial"/>
          <w:color w:val="000000"/>
          <w:sz w:val="32"/>
          <w:szCs w:val="32"/>
          <w:lang w:eastAsia="en-GB"/>
        </w:rPr>
        <w:br/>
      </w:r>
    </w:p>
    <w:p w:rsidR="0049244C" w:rsidRDefault="0049244C" w:rsidP="007633C3">
      <w:pPr>
        <w:spacing w:after="0" w:line="240" w:lineRule="auto"/>
        <w:jc w:val="center"/>
        <w:rPr>
          <w:rFonts w:ascii="Times New Roman" w:hAnsi="Times New Roman"/>
          <w:sz w:val="24"/>
          <w:szCs w:val="24"/>
          <w:lang w:eastAsia="en-GB"/>
        </w:rPr>
      </w:pPr>
    </w:p>
    <w:p w:rsidR="0049244C" w:rsidRPr="007633C3" w:rsidRDefault="0049244C" w:rsidP="007633C3">
      <w:pPr>
        <w:spacing w:after="0" w:line="240" w:lineRule="auto"/>
        <w:jc w:val="center"/>
        <w:rPr>
          <w:rFonts w:ascii="Times New Roman" w:hAnsi="Times New Roman"/>
          <w:sz w:val="24"/>
          <w:szCs w:val="24"/>
          <w:lang w:eastAsia="en-GB"/>
        </w:rPr>
      </w:pPr>
    </w:p>
    <w:p w:rsidR="0049244C" w:rsidRPr="007633C3" w:rsidRDefault="0049244C" w:rsidP="007633C3">
      <w:pPr>
        <w:spacing w:after="0" w:line="240" w:lineRule="auto"/>
        <w:rPr>
          <w:rFonts w:ascii="Times New Roman" w:hAnsi="Times New Roman"/>
          <w:sz w:val="24"/>
          <w:szCs w:val="24"/>
          <w:lang w:eastAsia="en-GB"/>
        </w:rPr>
      </w:pPr>
    </w:p>
    <w:p w:rsidR="0049244C" w:rsidRPr="008B6B37" w:rsidRDefault="0049244C" w:rsidP="004524FA">
      <w:pPr>
        <w:ind w:left="2880" w:right="3018"/>
        <w:rPr>
          <w:rFonts w:ascii="Arial MT" w:hAnsi="Arial MT"/>
          <w:sz w:val="32"/>
          <w:lang w:val="it-IT"/>
        </w:rPr>
      </w:pPr>
      <w:r w:rsidRPr="008B6B37">
        <w:rPr>
          <w:rFonts w:ascii="Arial MT" w:hAnsi="Arial MT"/>
          <w:sz w:val="32"/>
          <w:lang w:val="it-IT"/>
        </w:rPr>
        <w:t>Margaret</w:t>
      </w:r>
      <w:r w:rsidRPr="008B6B37">
        <w:rPr>
          <w:rFonts w:ascii="Arial MT" w:hAnsi="Arial MT"/>
          <w:spacing w:val="-1"/>
          <w:sz w:val="32"/>
          <w:lang w:val="it-IT"/>
        </w:rPr>
        <w:t xml:space="preserve"> </w:t>
      </w:r>
      <w:r w:rsidRPr="008B6B37">
        <w:rPr>
          <w:rFonts w:ascii="Arial MT" w:hAnsi="Arial MT"/>
          <w:sz w:val="32"/>
          <w:lang w:val="it-IT"/>
        </w:rPr>
        <w:t>Rude</w:t>
      </w:r>
      <w:r w:rsidRPr="008B6B37">
        <w:rPr>
          <w:rFonts w:ascii="Arial MT" w:hAnsi="Arial MT"/>
          <w:spacing w:val="-2"/>
          <w:sz w:val="32"/>
          <w:lang w:val="it-IT"/>
        </w:rPr>
        <w:t xml:space="preserve"> </w:t>
      </w:r>
      <w:r w:rsidRPr="008B6B37">
        <w:rPr>
          <w:rFonts w:ascii="Arial MT" w:hAnsi="Arial MT"/>
          <w:sz w:val="32"/>
          <w:lang w:val="it-IT"/>
        </w:rPr>
        <w:t>- CEO</w:t>
      </w:r>
    </w:p>
    <w:p w:rsidR="0049244C" w:rsidRPr="004D339F" w:rsidRDefault="0049244C" w:rsidP="004524FA">
      <w:pPr>
        <w:jc w:val="center"/>
        <w:rPr>
          <w:rFonts w:ascii="Arial MT" w:hAnsi="Arial MT"/>
          <w:spacing w:val="-86"/>
          <w:sz w:val="32"/>
          <w:lang w:val="it-IT"/>
        </w:rPr>
      </w:pPr>
      <w:r w:rsidRPr="004D339F">
        <w:rPr>
          <w:rFonts w:ascii="Arial MT" w:hAnsi="Arial MT"/>
          <w:sz w:val="32"/>
          <w:lang w:val="it-IT"/>
        </w:rPr>
        <w:t>Dr Elena Colangelo – Compliance Officer</w:t>
      </w:r>
    </w:p>
    <w:p w:rsidR="0049244C" w:rsidRDefault="0049244C" w:rsidP="004524FA">
      <w:pPr>
        <w:rPr>
          <w:rFonts w:ascii="Arial" w:hAnsi="Arial" w:cs="Arial"/>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600"/>
        <w:gridCol w:w="1901"/>
        <w:gridCol w:w="2000"/>
      </w:tblGrid>
      <w:tr w:rsidR="0049244C" w:rsidTr="009D148A">
        <w:trPr>
          <w:trHeight w:val="415"/>
        </w:trPr>
        <w:tc>
          <w:tcPr>
            <w:tcW w:w="1515" w:type="dxa"/>
          </w:tcPr>
          <w:p w:rsidR="0049244C" w:rsidRDefault="0049244C" w:rsidP="009D148A">
            <w:pPr>
              <w:pStyle w:val="TableParagraph"/>
              <w:spacing w:line="210" w:lineRule="exact"/>
              <w:ind w:left="375" w:right="230" w:hanging="121"/>
              <w:jc w:val="center"/>
              <w:rPr>
                <w:rFonts w:ascii="Arial MT"/>
                <w:spacing w:val="-47"/>
                <w:sz w:val="18"/>
              </w:rPr>
            </w:pPr>
            <w:r>
              <w:rPr>
                <w:rFonts w:ascii="Arial MT" w:eastAsia="Times New Roman"/>
                <w:sz w:val="18"/>
              </w:rPr>
              <w:t>Review</w:t>
            </w:r>
          </w:p>
          <w:p w:rsidR="0049244C" w:rsidRDefault="0049244C" w:rsidP="009D148A">
            <w:pPr>
              <w:pStyle w:val="TableParagraph"/>
              <w:spacing w:line="210" w:lineRule="exact"/>
              <w:ind w:left="375" w:right="230" w:hanging="121"/>
              <w:jc w:val="center"/>
              <w:rPr>
                <w:rFonts w:ascii="Arial MT" w:eastAsia="Times New Roman"/>
                <w:sz w:val="18"/>
              </w:rPr>
            </w:pPr>
            <w:r>
              <w:rPr>
                <w:rFonts w:ascii="Arial MT" w:eastAsia="Times New Roman"/>
                <w:sz w:val="18"/>
              </w:rPr>
              <w:t>date</w:t>
            </w:r>
          </w:p>
        </w:tc>
        <w:tc>
          <w:tcPr>
            <w:tcW w:w="3600" w:type="dxa"/>
          </w:tcPr>
          <w:p w:rsidR="0049244C" w:rsidRDefault="0049244C" w:rsidP="009D148A">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1901" w:type="dxa"/>
          </w:tcPr>
          <w:p w:rsidR="0049244C" w:rsidRDefault="0049244C" w:rsidP="00C122C2">
            <w:pPr>
              <w:pStyle w:val="TableParagraph"/>
              <w:spacing w:before="1"/>
              <w:ind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49244C" w:rsidRDefault="0049244C" w:rsidP="009D148A">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49244C" w:rsidTr="009D148A">
        <w:trPr>
          <w:trHeight w:val="3281"/>
        </w:trPr>
        <w:tc>
          <w:tcPr>
            <w:tcW w:w="1515" w:type="dxa"/>
          </w:tcPr>
          <w:p w:rsidR="0049244C" w:rsidRPr="00B17F8F" w:rsidRDefault="0049244C" w:rsidP="009D148A">
            <w:pPr>
              <w:pStyle w:val="TableParagraph"/>
              <w:spacing w:line="237" w:lineRule="auto"/>
              <w:ind w:left="350" w:right="245" w:hanging="81"/>
              <w:jc w:val="center"/>
              <w:rPr>
                <w:rFonts w:ascii="Arial" w:hAnsi="Arial" w:cs="Arial"/>
                <w:sz w:val="18"/>
              </w:rPr>
            </w:pPr>
            <w:r w:rsidRPr="00B17F8F">
              <w:rPr>
                <w:rFonts w:ascii="Arial" w:hAnsi="Arial" w:cs="Arial"/>
                <w:sz w:val="18"/>
              </w:rPr>
              <w:t>September 202</w:t>
            </w:r>
            <w:r>
              <w:rPr>
                <w:rFonts w:ascii="Arial" w:hAnsi="Arial" w:cs="Arial"/>
                <w:sz w:val="18"/>
              </w:rPr>
              <w:t>6</w:t>
            </w:r>
          </w:p>
        </w:tc>
        <w:tc>
          <w:tcPr>
            <w:tcW w:w="3600" w:type="dxa"/>
          </w:tcPr>
          <w:p w:rsidR="0049244C" w:rsidRPr="00B17F8F" w:rsidRDefault="0049244C" w:rsidP="00B34D37">
            <w:pPr>
              <w:rPr>
                <w:rFonts w:ascii="Arial" w:hAnsi="Arial" w:cs="Arial"/>
                <w:sz w:val="18"/>
              </w:rPr>
            </w:pPr>
          </w:p>
        </w:tc>
        <w:tc>
          <w:tcPr>
            <w:tcW w:w="1901" w:type="dxa"/>
          </w:tcPr>
          <w:p w:rsidR="0049244C" w:rsidRPr="00B17F8F" w:rsidRDefault="0049244C" w:rsidP="00B17F8F">
            <w:pPr>
              <w:pStyle w:val="TableParagraph"/>
              <w:spacing w:line="203" w:lineRule="exact"/>
              <w:ind w:left="633" w:right="615"/>
              <w:jc w:val="center"/>
              <w:rPr>
                <w:rFonts w:ascii="Arial" w:hAnsi="Arial" w:cs="Arial"/>
                <w:sz w:val="18"/>
              </w:rPr>
            </w:pPr>
          </w:p>
        </w:tc>
        <w:tc>
          <w:tcPr>
            <w:tcW w:w="2000" w:type="dxa"/>
          </w:tcPr>
          <w:p w:rsidR="0049244C" w:rsidRPr="00B17F8F" w:rsidRDefault="0049244C" w:rsidP="00B17F8F">
            <w:pPr>
              <w:pStyle w:val="TableParagraph"/>
              <w:spacing w:line="237" w:lineRule="auto"/>
              <w:ind w:left="111" w:right="93" w:firstLine="15"/>
              <w:jc w:val="center"/>
              <w:rPr>
                <w:rFonts w:ascii="Arial" w:hAnsi="Arial" w:cs="Arial"/>
                <w:sz w:val="18"/>
              </w:rPr>
            </w:pPr>
          </w:p>
        </w:tc>
      </w:tr>
    </w:tbl>
    <w:p w:rsidR="0049244C" w:rsidRPr="00511F0C" w:rsidRDefault="0049244C" w:rsidP="004524FA">
      <w:pPr>
        <w:rPr>
          <w:rFonts w:ascii="Arial" w:hAnsi="Arial" w:cs="Arial"/>
        </w:rPr>
      </w:pPr>
    </w:p>
    <w:p w:rsidR="0049244C" w:rsidRDefault="0049244C" w:rsidP="004524FA">
      <w:pPr>
        <w:rPr>
          <w:rFonts w:ascii="Arial" w:hAnsi="Arial" w:cs="Arial"/>
        </w:rPr>
      </w:pPr>
    </w:p>
    <w:p w:rsidR="0049244C" w:rsidRDefault="0049244C" w:rsidP="00B37CDA">
      <w:pPr>
        <w:rPr>
          <w:rFonts w:ascii="Arial" w:hAnsi="Arial" w:cs="Arial"/>
        </w:rPr>
      </w:pPr>
    </w:p>
    <w:p w:rsidR="0049244C" w:rsidRDefault="0049244C" w:rsidP="00B37CDA">
      <w:pPr>
        <w:rPr>
          <w:rFonts w:ascii="Arial" w:hAnsi="Arial" w:cs="Arial"/>
        </w:rPr>
      </w:pPr>
    </w:p>
    <w:p w:rsidR="0049244C" w:rsidRPr="00F81485" w:rsidRDefault="0049244C" w:rsidP="00F81485">
      <w:pPr>
        <w:pStyle w:val="Heading1"/>
        <w:jc w:val="both"/>
        <w:rPr>
          <w:rFonts w:cs="Calibri"/>
          <w:color w:val="auto"/>
        </w:rPr>
      </w:pPr>
      <w:r>
        <w:rPr>
          <w:rFonts w:cs="Calibri"/>
          <w:color w:val="auto"/>
        </w:rPr>
        <w:t xml:space="preserve">1. </w:t>
      </w:r>
      <w:r w:rsidRPr="00F81485">
        <w:rPr>
          <w:rFonts w:cs="Calibri"/>
          <w:color w:val="auto"/>
        </w:rPr>
        <w:t>Purpose &amp; Scope</w:t>
      </w:r>
    </w:p>
    <w:p w:rsidR="0049244C" w:rsidRPr="00F81485" w:rsidRDefault="0049244C" w:rsidP="00F81485">
      <w:pPr>
        <w:jc w:val="both"/>
        <w:rPr>
          <w:rFonts w:cs="Calibri"/>
          <w:sz w:val="24"/>
          <w:szCs w:val="24"/>
        </w:rPr>
      </w:pPr>
      <w:r w:rsidRPr="00F81485">
        <w:rPr>
          <w:rFonts w:cs="Calibri"/>
          <w:sz w:val="24"/>
          <w:szCs w:val="24"/>
        </w:rPr>
        <w:t>This plan sets out how Positive Progress Tuition will continue to provide teaching and learning services in the event of an unexpected disruption. It covers risks such as illness, building closure, IT failure, and other emergencies that could affect staff, students, or facilities.</w:t>
      </w:r>
    </w:p>
    <w:p w:rsidR="0049244C" w:rsidRPr="00F81485" w:rsidRDefault="0049244C" w:rsidP="00F81485">
      <w:pPr>
        <w:pStyle w:val="Heading1"/>
        <w:jc w:val="both"/>
        <w:rPr>
          <w:rFonts w:cs="Calibri"/>
          <w:color w:val="auto"/>
        </w:rPr>
      </w:pPr>
      <w:r w:rsidRPr="00F81485">
        <w:rPr>
          <w:rFonts w:cs="Calibri"/>
          <w:color w:val="auto"/>
        </w:rPr>
        <w:t>2. Objectives</w:t>
      </w:r>
    </w:p>
    <w:p w:rsidR="0049244C" w:rsidRPr="00F81485" w:rsidRDefault="0049244C" w:rsidP="00F81485">
      <w:pPr>
        <w:numPr>
          <w:ilvl w:val="0"/>
          <w:numId w:val="1"/>
        </w:numPr>
        <w:jc w:val="both"/>
        <w:rPr>
          <w:rFonts w:cs="Calibri"/>
          <w:sz w:val="24"/>
          <w:szCs w:val="24"/>
        </w:rPr>
      </w:pPr>
      <w:r w:rsidRPr="00F81485">
        <w:rPr>
          <w:rFonts w:cs="Calibri"/>
          <w:sz w:val="24"/>
          <w:szCs w:val="24"/>
        </w:rPr>
        <w:t>Ensure the safety of students, staff, and visitors.</w:t>
      </w:r>
    </w:p>
    <w:p w:rsidR="0049244C" w:rsidRPr="00F81485" w:rsidRDefault="0049244C" w:rsidP="00F81485">
      <w:pPr>
        <w:numPr>
          <w:ilvl w:val="0"/>
          <w:numId w:val="1"/>
        </w:numPr>
        <w:jc w:val="both"/>
        <w:rPr>
          <w:rFonts w:cs="Calibri"/>
          <w:sz w:val="24"/>
          <w:szCs w:val="24"/>
        </w:rPr>
      </w:pPr>
      <w:r w:rsidRPr="00F81485">
        <w:rPr>
          <w:rFonts w:cs="Calibri"/>
          <w:sz w:val="24"/>
          <w:szCs w:val="24"/>
        </w:rPr>
        <w:t>Minimize disruption to tuition services.</w:t>
      </w:r>
    </w:p>
    <w:p w:rsidR="0049244C" w:rsidRPr="00F81485" w:rsidRDefault="0049244C" w:rsidP="00F81485">
      <w:pPr>
        <w:numPr>
          <w:ilvl w:val="0"/>
          <w:numId w:val="1"/>
        </w:numPr>
        <w:jc w:val="both"/>
        <w:rPr>
          <w:rFonts w:cs="Calibri"/>
          <w:sz w:val="24"/>
          <w:szCs w:val="24"/>
        </w:rPr>
      </w:pPr>
      <w:r w:rsidRPr="00F81485">
        <w:rPr>
          <w:rFonts w:cs="Calibri"/>
          <w:sz w:val="24"/>
          <w:szCs w:val="24"/>
        </w:rPr>
        <w:t>Protect business reputation and client confidence.</w:t>
      </w:r>
    </w:p>
    <w:p w:rsidR="0049244C" w:rsidRPr="00F81485" w:rsidRDefault="0049244C" w:rsidP="00F81485">
      <w:pPr>
        <w:numPr>
          <w:ilvl w:val="0"/>
          <w:numId w:val="1"/>
        </w:numPr>
        <w:jc w:val="both"/>
        <w:rPr>
          <w:rFonts w:cs="Calibri"/>
          <w:sz w:val="24"/>
          <w:szCs w:val="24"/>
        </w:rPr>
      </w:pPr>
      <w:r w:rsidRPr="00F81485">
        <w:rPr>
          <w:rFonts w:cs="Calibri"/>
          <w:sz w:val="24"/>
          <w:szCs w:val="24"/>
        </w:rPr>
        <w:t>Provide clear communication during and after an incident.</w:t>
      </w:r>
    </w:p>
    <w:p w:rsidR="0049244C" w:rsidRPr="00F81485" w:rsidRDefault="0049244C" w:rsidP="00F81485">
      <w:pPr>
        <w:numPr>
          <w:ilvl w:val="0"/>
          <w:numId w:val="1"/>
        </w:numPr>
        <w:jc w:val="both"/>
        <w:rPr>
          <w:rFonts w:cs="Calibri"/>
          <w:sz w:val="24"/>
          <w:szCs w:val="24"/>
        </w:rPr>
      </w:pPr>
      <w:r w:rsidRPr="00F81485">
        <w:rPr>
          <w:rFonts w:cs="Calibri"/>
          <w:sz w:val="24"/>
          <w:szCs w:val="24"/>
        </w:rPr>
        <w:t>Resume normal operations as quickly as possible.</w:t>
      </w:r>
    </w:p>
    <w:p w:rsidR="0049244C" w:rsidRPr="00F81485" w:rsidRDefault="0049244C" w:rsidP="00F81485">
      <w:pPr>
        <w:pStyle w:val="Heading1"/>
        <w:jc w:val="both"/>
        <w:rPr>
          <w:rFonts w:cs="Calibri"/>
          <w:color w:val="auto"/>
        </w:rPr>
      </w:pPr>
      <w:r w:rsidRPr="00F81485">
        <w:rPr>
          <w:rFonts w:cs="Calibri"/>
          <w:color w:val="auto"/>
        </w:rPr>
        <w:t>3. Key Risks</w:t>
      </w:r>
    </w:p>
    <w:p w:rsidR="0049244C" w:rsidRPr="00F81485" w:rsidRDefault="0049244C" w:rsidP="00F81485">
      <w:pPr>
        <w:numPr>
          <w:ilvl w:val="0"/>
          <w:numId w:val="1"/>
        </w:numPr>
        <w:jc w:val="both"/>
        <w:rPr>
          <w:rFonts w:cs="Calibri"/>
          <w:sz w:val="24"/>
          <w:szCs w:val="24"/>
        </w:rPr>
      </w:pPr>
      <w:r w:rsidRPr="009605D9">
        <w:rPr>
          <w:rFonts w:cs="Calibri"/>
          <w:sz w:val="24"/>
          <w:szCs w:val="24"/>
          <w:u w:val="single"/>
        </w:rPr>
        <w:t>Premises-related risks</w:t>
      </w:r>
      <w:r w:rsidRPr="00F81485">
        <w:rPr>
          <w:rFonts w:cs="Calibri"/>
          <w:sz w:val="24"/>
          <w:szCs w:val="24"/>
        </w:rPr>
        <w:t>: fire, flood, power outage, structural damage.</w:t>
      </w:r>
    </w:p>
    <w:p w:rsidR="0049244C" w:rsidRPr="00F81485" w:rsidRDefault="0049244C" w:rsidP="00F81485">
      <w:pPr>
        <w:numPr>
          <w:ilvl w:val="0"/>
          <w:numId w:val="1"/>
        </w:numPr>
        <w:jc w:val="both"/>
        <w:rPr>
          <w:rFonts w:cs="Calibri"/>
          <w:sz w:val="24"/>
          <w:szCs w:val="24"/>
        </w:rPr>
      </w:pPr>
      <w:r w:rsidRPr="009605D9">
        <w:rPr>
          <w:rFonts w:cs="Calibri"/>
          <w:sz w:val="24"/>
          <w:szCs w:val="24"/>
          <w:u w:val="single"/>
        </w:rPr>
        <w:t>Health-related risks</w:t>
      </w:r>
      <w:r w:rsidRPr="00F81485">
        <w:rPr>
          <w:rFonts w:cs="Calibri"/>
          <w:sz w:val="24"/>
          <w:szCs w:val="24"/>
        </w:rPr>
        <w:t>: staff illness, epidemics/pandemics, safeguarding issues.</w:t>
      </w:r>
    </w:p>
    <w:p w:rsidR="0049244C" w:rsidRPr="00F81485" w:rsidRDefault="0049244C" w:rsidP="00F81485">
      <w:pPr>
        <w:numPr>
          <w:ilvl w:val="0"/>
          <w:numId w:val="1"/>
        </w:numPr>
        <w:jc w:val="both"/>
        <w:rPr>
          <w:rFonts w:cs="Calibri"/>
          <w:sz w:val="24"/>
          <w:szCs w:val="24"/>
        </w:rPr>
      </w:pPr>
      <w:r w:rsidRPr="009605D9">
        <w:rPr>
          <w:rFonts w:cs="Calibri"/>
          <w:sz w:val="24"/>
          <w:szCs w:val="24"/>
          <w:u w:val="single"/>
        </w:rPr>
        <w:t>Technology risks</w:t>
      </w:r>
      <w:r w:rsidRPr="00F81485">
        <w:rPr>
          <w:rFonts w:cs="Calibri"/>
          <w:sz w:val="24"/>
          <w:szCs w:val="24"/>
        </w:rPr>
        <w:t>: internet failure, online platform outage, data loss.</w:t>
      </w:r>
    </w:p>
    <w:p w:rsidR="0049244C" w:rsidRPr="00F81485" w:rsidRDefault="0049244C" w:rsidP="00F81485">
      <w:pPr>
        <w:numPr>
          <w:ilvl w:val="0"/>
          <w:numId w:val="1"/>
        </w:numPr>
        <w:jc w:val="both"/>
        <w:rPr>
          <w:rFonts w:cs="Calibri"/>
          <w:sz w:val="24"/>
          <w:szCs w:val="24"/>
        </w:rPr>
      </w:pPr>
      <w:r w:rsidRPr="009605D9">
        <w:rPr>
          <w:rFonts w:cs="Calibri"/>
          <w:sz w:val="24"/>
          <w:szCs w:val="24"/>
          <w:u w:val="single"/>
        </w:rPr>
        <w:t>Operational risks</w:t>
      </w:r>
      <w:r w:rsidRPr="00F81485">
        <w:rPr>
          <w:rFonts w:cs="Calibri"/>
          <w:sz w:val="24"/>
          <w:szCs w:val="24"/>
        </w:rPr>
        <w:t>: tutor unavailability, sudden demand changes, transport issues.</w:t>
      </w:r>
    </w:p>
    <w:p w:rsidR="0049244C" w:rsidRPr="00F81485" w:rsidRDefault="0049244C" w:rsidP="00F81485">
      <w:pPr>
        <w:pStyle w:val="Heading1"/>
        <w:jc w:val="both"/>
        <w:rPr>
          <w:rFonts w:cs="Calibri"/>
          <w:color w:val="auto"/>
        </w:rPr>
      </w:pPr>
      <w:r w:rsidRPr="00F81485">
        <w:rPr>
          <w:rFonts w:cs="Calibri"/>
          <w:color w:val="auto"/>
        </w:rPr>
        <w:t>4. Critical Functions</w:t>
      </w:r>
    </w:p>
    <w:p w:rsidR="0049244C" w:rsidRPr="00F81485" w:rsidRDefault="0049244C" w:rsidP="00F81485">
      <w:pPr>
        <w:numPr>
          <w:ilvl w:val="0"/>
          <w:numId w:val="1"/>
        </w:numPr>
        <w:jc w:val="both"/>
        <w:rPr>
          <w:rFonts w:cs="Calibri"/>
          <w:sz w:val="24"/>
          <w:szCs w:val="24"/>
        </w:rPr>
      </w:pPr>
      <w:r w:rsidRPr="00F81485">
        <w:rPr>
          <w:rFonts w:cs="Calibri"/>
          <w:sz w:val="24"/>
          <w:szCs w:val="24"/>
        </w:rPr>
        <w:t>Delivering tuition (face-to-face and online).</w:t>
      </w:r>
    </w:p>
    <w:p w:rsidR="0049244C" w:rsidRPr="00F81485" w:rsidRDefault="0049244C" w:rsidP="00F81485">
      <w:pPr>
        <w:numPr>
          <w:ilvl w:val="0"/>
          <w:numId w:val="1"/>
        </w:numPr>
        <w:jc w:val="both"/>
        <w:rPr>
          <w:rFonts w:cs="Calibri"/>
          <w:sz w:val="24"/>
          <w:szCs w:val="24"/>
        </w:rPr>
      </w:pPr>
      <w:r w:rsidRPr="00F81485">
        <w:rPr>
          <w:rFonts w:cs="Calibri"/>
          <w:sz w:val="24"/>
          <w:szCs w:val="24"/>
        </w:rPr>
        <w:t>Safeguarding students.</w:t>
      </w:r>
    </w:p>
    <w:p w:rsidR="0049244C" w:rsidRPr="00F81485" w:rsidRDefault="0049244C" w:rsidP="00F81485">
      <w:pPr>
        <w:numPr>
          <w:ilvl w:val="0"/>
          <w:numId w:val="1"/>
        </w:numPr>
        <w:jc w:val="both"/>
        <w:rPr>
          <w:rFonts w:cs="Calibri"/>
          <w:sz w:val="24"/>
          <w:szCs w:val="24"/>
        </w:rPr>
      </w:pPr>
      <w:r w:rsidRPr="00F81485">
        <w:rPr>
          <w:rFonts w:cs="Calibri"/>
          <w:sz w:val="24"/>
          <w:szCs w:val="24"/>
        </w:rPr>
        <w:t>Communication with parents, students, and staff.</w:t>
      </w:r>
    </w:p>
    <w:p w:rsidR="0049244C" w:rsidRPr="00F81485" w:rsidRDefault="0049244C" w:rsidP="00F81485">
      <w:pPr>
        <w:numPr>
          <w:ilvl w:val="0"/>
          <w:numId w:val="1"/>
        </w:numPr>
        <w:jc w:val="both"/>
        <w:rPr>
          <w:rFonts w:cs="Calibri"/>
          <w:sz w:val="24"/>
          <w:szCs w:val="24"/>
        </w:rPr>
      </w:pPr>
      <w:r w:rsidRPr="00F81485">
        <w:rPr>
          <w:rFonts w:cs="Calibri"/>
          <w:sz w:val="24"/>
          <w:szCs w:val="24"/>
        </w:rPr>
        <w:t>Maintaining access to lesson resources, student records, and scheduling systems.</w:t>
      </w:r>
    </w:p>
    <w:p w:rsidR="0049244C" w:rsidRDefault="0049244C" w:rsidP="00F81485">
      <w:pPr>
        <w:numPr>
          <w:ilvl w:val="0"/>
          <w:numId w:val="1"/>
        </w:numPr>
        <w:jc w:val="both"/>
        <w:rPr>
          <w:rFonts w:cs="Calibri"/>
          <w:sz w:val="24"/>
          <w:szCs w:val="24"/>
        </w:rPr>
      </w:pPr>
      <w:r w:rsidRPr="00F81485">
        <w:rPr>
          <w:rFonts w:cs="Calibri"/>
          <w:sz w:val="24"/>
          <w:szCs w:val="24"/>
        </w:rPr>
        <w:t>Managing payments and financial records.</w:t>
      </w:r>
    </w:p>
    <w:p w:rsidR="0049244C" w:rsidRPr="00F81485" w:rsidRDefault="0049244C" w:rsidP="00A13EEC">
      <w:pPr>
        <w:ind w:left="1260"/>
        <w:jc w:val="both"/>
        <w:rPr>
          <w:rFonts w:cs="Calibri"/>
          <w:sz w:val="24"/>
          <w:szCs w:val="24"/>
        </w:rPr>
      </w:pPr>
    </w:p>
    <w:p w:rsidR="0049244C" w:rsidRPr="00F81485" w:rsidRDefault="0049244C" w:rsidP="00F81485">
      <w:pPr>
        <w:pStyle w:val="Heading1"/>
        <w:jc w:val="both"/>
        <w:rPr>
          <w:rFonts w:cs="Calibri"/>
          <w:color w:val="auto"/>
        </w:rPr>
      </w:pPr>
      <w:r w:rsidRPr="00F81485">
        <w:rPr>
          <w:rFonts w:cs="Calibri"/>
          <w:color w:val="auto"/>
        </w:rPr>
        <w:t>5. Business Continuity Strategies</w:t>
      </w:r>
    </w:p>
    <w:p w:rsidR="0049244C" w:rsidRPr="00F81485" w:rsidRDefault="0049244C" w:rsidP="009605D9">
      <w:pPr>
        <w:jc w:val="both"/>
        <w:rPr>
          <w:rFonts w:cs="Calibri"/>
          <w:sz w:val="24"/>
          <w:szCs w:val="24"/>
        </w:rPr>
      </w:pPr>
      <w:r w:rsidRPr="009605D9">
        <w:rPr>
          <w:rFonts w:cs="Calibri"/>
          <w:sz w:val="24"/>
          <w:szCs w:val="24"/>
          <w:u w:val="single"/>
        </w:rPr>
        <w:t xml:space="preserve">Teaching </w:t>
      </w:r>
      <w:r>
        <w:rPr>
          <w:rFonts w:cs="Calibri"/>
          <w:sz w:val="24"/>
          <w:szCs w:val="24"/>
          <w:u w:val="single"/>
        </w:rPr>
        <w:t>del</w:t>
      </w:r>
      <w:r w:rsidRPr="009605D9">
        <w:rPr>
          <w:rFonts w:cs="Calibri"/>
          <w:sz w:val="24"/>
          <w:szCs w:val="24"/>
          <w:u w:val="single"/>
        </w:rPr>
        <w:t>ivery if premises unavailable</w:t>
      </w:r>
      <w:r w:rsidRPr="00F81485">
        <w:rPr>
          <w:rFonts w:cs="Calibri"/>
          <w:sz w:val="24"/>
          <w:szCs w:val="24"/>
        </w:rPr>
        <w:t>:</w:t>
      </w:r>
    </w:p>
    <w:p w:rsidR="0049244C" w:rsidRDefault="0049244C" w:rsidP="009605D9">
      <w:pPr>
        <w:numPr>
          <w:ilvl w:val="0"/>
          <w:numId w:val="1"/>
        </w:numPr>
        <w:jc w:val="both"/>
        <w:rPr>
          <w:rFonts w:cs="Calibri"/>
          <w:sz w:val="24"/>
          <w:szCs w:val="24"/>
        </w:rPr>
      </w:pPr>
      <w:r w:rsidRPr="00F81485">
        <w:rPr>
          <w:rFonts w:cs="Calibri"/>
          <w:sz w:val="24"/>
          <w:szCs w:val="24"/>
        </w:rPr>
        <w:t>Move lessons online via Zoom/Google Meet/Teams.</w:t>
      </w:r>
    </w:p>
    <w:p w:rsidR="0049244C" w:rsidRPr="00F81485" w:rsidRDefault="0049244C" w:rsidP="009605D9">
      <w:pPr>
        <w:numPr>
          <w:ilvl w:val="0"/>
          <w:numId w:val="1"/>
        </w:numPr>
        <w:jc w:val="both"/>
        <w:rPr>
          <w:rFonts w:cs="Calibri"/>
          <w:sz w:val="24"/>
          <w:szCs w:val="24"/>
        </w:rPr>
      </w:pPr>
      <w:r>
        <w:rPr>
          <w:rFonts w:cs="Calibri"/>
          <w:sz w:val="24"/>
          <w:szCs w:val="24"/>
        </w:rPr>
        <w:t>Move lessons to the other Positive Progress branch.</w:t>
      </w:r>
    </w:p>
    <w:p w:rsidR="0049244C" w:rsidRDefault="0049244C" w:rsidP="009605D9">
      <w:pPr>
        <w:jc w:val="both"/>
        <w:rPr>
          <w:rFonts w:cs="Calibri"/>
          <w:sz w:val="24"/>
          <w:szCs w:val="24"/>
        </w:rPr>
      </w:pPr>
    </w:p>
    <w:p w:rsidR="0049244C" w:rsidRPr="00F81485" w:rsidRDefault="0049244C" w:rsidP="009605D9">
      <w:pPr>
        <w:jc w:val="both"/>
        <w:rPr>
          <w:rFonts w:cs="Calibri"/>
          <w:sz w:val="24"/>
          <w:szCs w:val="24"/>
        </w:rPr>
      </w:pPr>
      <w:r w:rsidRPr="009605D9">
        <w:rPr>
          <w:rFonts w:cs="Calibri"/>
          <w:sz w:val="24"/>
          <w:szCs w:val="24"/>
          <w:u w:val="single"/>
        </w:rPr>
        <w:t>Teaching delivery if tutor unavailable</w:t>
      </w:r>
      <w:r w:rsidRPr="00F81485">
        <w:rPr>
          <w:rFonts w:cs="Calibri"/>
          <w:sz w:val="24"/>
          <w:szCs w:val="24"/>
        </w:rPr>
        <w:t>:</w:t>
      </w:r>
    </w:p>
    <w:p w:rsidR="0049244C" w:rsidRPr="00F81485" w:rsidRDefault="0049244C" w:rsidP="00F81485">
      <w:pPr>
        <w:numPr>
          <w:ilvl w:val="0"/>
          <w:numId w:val="1"/>
        </w:numPr>
        <w:jc w:val="both"/>
        <w:rPr>
          <w:rFonts w:cs="Calibri"/>
          <w:sz w:val="24"/>
          <w:szCs w:val="24"/>
        </w:rPr>
      </w:pPr>
      <w:r>
        <w:rPr>
          <w:rFonts w:cs="Calibri"/>
          <w:sz w:val="24"/>
          <w:szCs w:val="24"/>
        </w:rPr>
        <w:t>Ask if any other Positive Progress tutor is available for cover</w:t>
      </w:r>
    </w:p>
    <w:p w:rsidR="0049244C" w:rsidRPr="00F81485" w:rsidRDefault="0049244C" w:rsidP="00F81485">
      <w:pPr>
        <w:numPr>
          <w:ilvl w:val="0"/>
          <w:numId w:val="1"/>
        </w:numPr>
        <w:jc w:val="both"/>
        <w:rPr>
          <w:rFonts w:cs="Calibri"/>
          <w:sz w:val="24"/>
          <w:szCs w:val="24"/>
        </w:rPr>
      </w:pPr>
      <w:r w:rsidRPr="00F81485">
        <w:rPr>
          <w:rFonts w:cs="Calibri"/>
          <w:sz w:val="24"/>
          <w:szCs w:val="24"/>
        </w:rPr>
        <w:t>Reschedule sessions with parent agreement if cover cannot be arranged.</w:t>
      </w:r>
    </w:p>
    <w:p w:rsidR="0049244C" w:rsidRPr="00F81485" w:rsidRDefault="0049244C" w:rsidP="00A13EEC">
      <w:pPr>
        <w:jc w:val="both"/>
        <w:rPr>
          <w:rFonts w:cs="Calibri"/>
          <w:sz w:val="24"/>
          <w:szCs w:val="24"/>
        </w:rPr>
      </w:pPr>
    </w:p>
    <w:p w:rsidR="0049244C" w:rsidRPr="00F81485" w:rsidRDefault="0049244C" w:rsidP="00A13EEC">
      <w:pPr>
        <w:jc w:val="both"/>
        <w:rPr>
          <w:rFonts w:cs="Calibri"/>
          <w:sz w:val="24"/>
          <w:szCs w:val="24"/>
        </w:rPr>
      </w:pPr>
      <w:r w:rsidRPr="00A13EEC">
        <w:rPr>
          <w:rFonts w:cs="Calibri"/>
          <w:sz w:val="24"/>
          <w:szCs w:val="24"/>
          <w:u w:val="single"/>
        </w:rPr>
        <w:t>Technology &amp; Data</w:t>
      </w:r>
      <w:r w:rsidRPr="00F81485">
        <w:rPr>
          <w:rFonts w:cs="Calibri"/>
          <w:sz w:val="24"/>
          <w:szCs w:val="24"/>
        </w:rPr>
        <w:t>:</w:t>
      </w:r>
    </w:p>
    <w:p w:rsidR="0049244C" w:rsidRPr="00F81485" w:rsidRDefault="0049244C" w:rsidP="00F81485">
      <w:pPr>
        <w:numPr>
          <w:ilvl w:val="0"/>
          <w:numId w:val="1"/>
        </w:numPr>
        <w:jc w:val="both"/>
        <w:rPr>
          <w:rFonts w:cs="Calibri"/>
          <w:sz w:val="24"/>
          <w:szCs w:val="24"/>
        </w:rPr>
      </w:pPr>
      <w:r w:rsidRPr="00F81485">
        <w:rPr>
          <w:rFonts w:cs="Calibri"/>
          <w:sz w:val="24"/>
          <w:szCs w:val="24"/>
        </w:rPr>
        <w:t>All student data stored securely in a cloud system with backup.</w:t>
      </w:r>
    </w:p>
    <w:p w:rsidR="0049244C" w:rsidRPr="00F81485" w:rsidRDefault="0049244C" w:rsidP="00F81485">
      <w:pPr>
        <w:numPr>
          <w:ilvl w:val="0"/>
          <w:numId w:val="1"/>
        </w:numPr>
        <w:jc w:val="both"/>
        <w:rPr>
          <w:rFonts w:cs="Calibri"/>
          <w:sz w:val="24"/>
          <w:szCs w:val="24"/>
        </w:rPr>
      </w:pPr>
      <w:r w:rsidRPr="00F81485">
        <w:rPr>
          <w:rFonts w:cs="Calibri"/>
          <w:sz w:val="24"/>
          <w:szCs w:val="24"/>
        </w:rPr>
        <w:t>Use of multiple online platforms to prevent reliance on one provider.</w:t>
      </w:r>
    </w:p>
    <w:p w:rsidR="0049244C" w:rsidRPr="00F81485" w:rsidRDefault="0049244C" w:rsidP="00F81485">
      <w:pPr>
        <w:numPr>
          <w:ilvl w:val="0"/>
          <w:numId w:val="1"/>
        </w:numPr>
        <w:jc w:val="both"/>
        <w:rPr>
          <w:rFonts w:cs="Calibri"/>
          <w:sz w:val="24"/>
          <w:szCs w:val="24"/>
        </w:rPr>
      </w:pPr>
      <w:r w:rsidRPr="00F81485">
        <w:rPr>
          <w:rFonts w:cs="Calibri"/>
          <w:sz w:val="24"/>
          <w:szCs w:val="24"/>
        </w:rPr>
        <w:t>Backup internet option (e.g., mobile hotspot).</w:t>
      </w:r>
    </w:p>
    <w:p w:rsidR="0049244C" w:rsidRPr="00A13EEC" w:rsidRDefault="0049244C" w:rsidP="00A13EEC">
      <w:pPr>
        <w:jc w:val="both"/>
        <w:rPr>
          <w:rFonts w:cs="Calibri"/>
          <w:sz w:val="24"/>
          <w:szCs w:val="24"/>
          <w:u w:val="single"/>
        </w:rPr>
      </w:pPr>
    </w:p>
    <w:p w:rsidR="0049244C" w:rsidRPr="00F81485" w:rsidRDefault="0049244C" w:rsidP="00A13EEC">
      <w:pPr>
        <w:jc w:val="both"/>
        <w:rPr>
          <w:rFonts w:cs="Calibri"/>
          <w:sz w:val="24"/>
          <w:szCs w:val="24"/>
        </w:rPr>
      </w:pPr>
      <w:r w:rsidRPr="00A13EEC">
        <w:rPr>
          <w:rFonts w:cs="Calibri"/>
          <w:sz w:val="24"/>
          <w:szCs w:val="24"/>
          <w:u w:val="single"/>
        </w:rPr>
        <w:t>Finance</w:t>
      </w:r>
      <w:r w:rsidRPr="00F81485">
        <w:rPr>
          <w:rFonts w:cs="Calibri"/>
          <w:sz w:val="24"/>
          <w:szCs w:val="24"/>
        </w:rPr>
        <w:t>:</w:t>
      </w:r>
    </w:p>
    <w:p w:rsidR="0049244C" w:rsidRDefault="0049244C" w:rsidP="00A13EEC">
      <w:pPr>
        <w:numPr>
          <w:ilvl w:val="0"/>
          <w:numId w:val="1"/>
        </w:numPr>
        <w:jc w:val="both"/>
        <w:rPr>
          <w:rFonts w:cs="Calibri"/>
          <w:sz w:val="24"/>
          <w:szCs w:val="24"/>
        </w:rPr>
      </w:pPr>
      <w:r w:rsidRPr="00F81485">
        <w:rPr>
          <w:rFonts w:cs="Calibri"/>
          <w:sz w:val="24"/>
          <w:szCs w:val="24"/>
        </w:rPr>
        <w:t>Payments processed via secure online banking/direct debit.</w:t>
      </w:r>
    </w:p>
    <w:p w:rsidR="0049244C" w:rsidRPr="00F81485" w:rsidRDefault="0049244C" w:rsidP="00A13EEC">
      <w:pPr>
        <w:numPr>
          <w:ilvl w:val="0"/>
          <w:numId w:val="1"/>
        </w:numPr>
        <w:jc w:val="both"/>
        <w:rPr>
          <w:rFonts w:cs="Calibri"/>
          <w:sz w:val="24"/>
          <w:szCs w:val="24"/>
        </w:rPr>
      </w:pPr>
      <w:r w:rsidRPr="00F81485">
        <w:rPr>
          <w:rFonts w:cs="Calibri"/>
          <w:sz w:val="24"/>
          <w:szCs w:val="24"/>
        </w:rPr>
        <w:t>Financial records backed up weekly and accessible remotely.</w:t>
      </w:r>
    </w:p>
    <w:p w:rsidR="0049244C" w:rsidRPr="00F81485" w:rsidRDefault="0049244C" w:rsidP="00A13EEC">
      <w:pPr>
        <w:ind w:left="1260"/>
        <w:jc w:val="both"/>
        <w:rPr>
          <w:rFonts w:cs="Calibri"/>
          <w:sz w:val="24"/>
          <w:szCs w:val="24"/>
        </w:rPr>
      </w:pPr>
    </w:p>
    <w:p w:rsidR="0049244C" w:rsidRPr="00F81485" w:rsidRDefault="0049244C" w:rsidP="00A13EEC">
      <w:pPr>
        <w:jc w:val="both"/>
        <w:rPr>
          <w:rFonts w:cs="Calibri"/>
          <w:sz w:val="24"/>
          <w:szCs w:val="24"/>
        </w:rPr>
      </w:pPr>
      <w:r w:rsidRPr="00A13EEC">
        <w:rPr>
          <w:rFonts w:cs="Calibri"/>
          <w:sz w:val="24"/>
          <w:szCs w:val="24"/>
          <w:u w:val="single"/>
        </w:rPr>
        <w:t>Health &amp; Safety</w:t>
      </w:r>
      <w:r w:rsidRPr="00F81485">
        <w:rPr>
          <w:rFonts w:cs="Calibri"/>
          <w:sz w:val="24"/>
          <w:szCs w:val="24"/>
        </w:rPr>
        <w:t>:</w:t>
      </w:r>
    </w:p>
    <w:p w:rsidR="0049244C" w:rsidRPr="00F81485" w:rsidRDefault="0049244C" w:rsidP="00F81485">
      <w:pPr>
        <w:numPr>
          <w:ilvl w:val="0"/>
          <w:numId w:val="1"/>
        </w:numPr>
        <w:jc w:val="both"/>
        <w:rPr>
          <w:rFonts w:cs="Calibri"/>
          <w:sz w:val="24"/>
          <w:szCs w:val="24"/>
        </w:rPr>
      </w:pPr>
      <w:r w:rsidRPr="00F81485">
        <w:rPr>
          <w:rFonts w:cs="Calibri"/>
          <w:sz w:val="24"/>
          <w:szCs w:val="24"/>
        </w:rPr>
        <w:t>Follow safeguarding and emergency evacuation procedures.</w:t>
      </w:r>
    </w:p>
    <w:p w:rsidR="0049244C" w:rsidRPr="00F81485" w:rsidRDefault="0049244C" w:rsidP="00F81485">
      <w:pPr>
        <w:numPr>
          <w:ilvl w:val="0"/>
          <w:numId w:val="1"/>
        </w:numPr>
        <w:jc w:val="both"/>
        <w:rPr>
          <w:rFonts w:cs="Calibri"/>
          <w:sz w:val="24"/>
          <w:szCs w:val="24"/>
        </w:rPr>
      </w:pPr>
      <w:r w:rsidRPr="00F81485">
        <w:rPr>
          <w:rFonts w:cs="Calibri"/>
          <w:sz w:val="24"/>
          <w:szCs w:val="24"/>
        </w:rPr>
        <w:t>During illness outbreaks (e.g., flu/COVID-19), switch to remote teaching where possible.</w:t>
      </w:r>
    </w:p>
    <w:p w:rsidR="0049244C" w:rsidRPr="00F81485" w:rsidRDefault="0049244C" w:rsidP="00F81485">
      <w:pPr>
        <w:pStyle w:val="Heading1"/>
        <w:jc w:val="both"/>
        <w:rPr>
          <w:rFonts w:cs="Calibri"/>
          <w:color w:val="auto"/>
        </w:rPr>
      </w:pPr>
      <w:r w:rsidRPr="00F81485">
        <w:rPr>
          <w:rFonts w:cs="Calibri"/>
          <w:color w:val="auto"/>
        </w:rPr>
        <w:t>6. Communication Plan</w:t>
      </w:r>
    </w:p>
    <w:p w:rsidR="0049244C" w:rsidRPr="00F81485" w:rsidRDefault="0049244C" w:rsidP="00F81485">
      <w:pPr>
        <w:numPr>
          <w:ilvl w:val="0"/>
          <w:numId w:val="1"/>
        </w:numPr>
        <w:jc w:val="both"/>
        <w:rPr>
          <w:rFonts w:cs="Calibri"/>
          <w:sz w:val="24"/>
          <w:szCs w:val="24"/>
        </w:rPr>
      </w:pPr>
      <w:r w:rsidRPr="00F81485">
        <w:rPr>
          <w:rFonts w:cs="Calibri"/>
          <w:sz w:val="24"/>
          <w:szCs w:val="24"/>
        </w:rPr>
        <w:t>Parents/students notified of disruptions via email, text, and/or WhatsApp within 2 hours of incident.</w:t>
      </w:r>
    </w:p>
    <w:p w:rsidR="0049244C" w:rsidRPr="00F81485" w:rsidRDefault="0049244C" w:rsidP="00F81485">
      <w:pPr>
        <w:numPr>
          <w:ilvl w:val="0"/>
          <w:numId w:val="1"/>
        </w:numPr>
        <w:jc w:val="both"/>
        <w:rPr>
          <w:rFonts w:cs="Calibri"/>
          <w:sz w:val="24"/>
          <w:szCs w:val="24"/>
        </w:rPr>
      </w:pPr>
      <w:r w:rsidRPr="00F81485">
        <w:rPr>
          <w:rFonts w:cs="Calibri"/>
          <w:sz w:val="24"/>
          <w:szCs w:val="24"/>
        </w:rPr>
        <w:t>Website and social media updated if closure exceeds 24 hours.</w:t>
      </w:r>
    </w:p>
    <w:p w:rsidR="0049244C" w:rsidRPr="00F81485" w:rsidRDefault="0049244C" w:rsidP="00F81485">
      <w:pPr>
        <w:numPr>
          <w:ilvl w:val="0"/>
          <w:numId w:val="1"/>
        </w:numPr>
        <w:jc w:val="both"/>
        <w:rPr>
          <w:rFonts w:cs="Calibri"/>
          <w:sz w:val="24"/>
          <w:szCs w:val="24"/>
        </w:rPr>
      </w:pPr>
      <w:r w:rsidRPr="00F81485">
        <w:rPr>
          <w:rFonts w:cs="Calibri"/>
          <w:sz w:val="24"/>
          <w:szCs w:val="24"/>
        </w:rPr>
        <w:t>Staff informed via group chat and follow-up phone calls if needed.</w:t>
      </w:r>
    </w:p>
    <w:p w:rsidR="0049244C" w:rsidRPr="00F81485" w:rsidRDefault="0049244C" w:rsidP="00F81485">
      <w:pPr>
        <w:pStyle w:val="Heading1"/>
        <w:jc w:val="both"/>
        <w:rPr>
          <w:rFonts w:cs="Calibri"/>
          <w:color w:val="auto"/>
        </w:rPr>
      </w:pPr>
      <w:r w:rsidRPr="00F81485">
        <w:rPr>
          <w:rFonts w:cs="Calibri"/>
          <w:color w:val="auto"/>
        </w:rPr>
        <w:t>7. Recovery &amp; Resumption</w:t>
      </w:r>
    </w:p>
    <w:p w:rsidR="0049244C" w:rsidRPr="00F81485" w:rsidRDefault="0049244C" w:rsidP="00A13EEC">
      <w:pPr>
        <w:jc w:val="both"/>
        <w:rPr>
          <w:rFonts w:cs="Calibri"/>
          <w:sz w:val="24"/>
          <w:szCs w:val="24"/>
        </w:rPr>
      </w:pPr>
      <w:r w:rsidRPr="00A13EEC">
        <w:rPr>
          <w:rFonts w:cs="Calibri"/>
          <w:sz w:val="24"/>
          <w:szCs w:val="24"/>
          <w:u w:val="single"/>
        </w:rPr>
        <w:t>Aim to resume services within</w:t>
      </w:r>
      <w:r w:rsidRPr="00F81485">
        <w:rPr>
          <w:rFonts w:cs="Calibri"/>
          <w:sz w:val="24"/>
          <w:szCs w:val="24"/>
        </w:rPr>
        <w:t>:</w:t>
      </w:r>
    </w:p>
    <w:p w:rsidR="0049244C" w:rsidRPr="00F81485" w:rsidRDefault="0049244C" w:rsidP="00F81485">
      <w:pPr>
        <w:numPr>
          <w:ilvl w:val="0"/>
          <w:numId w:val="1"/>
        </w:numPr>
        <w:jc w:val="both"/>
        <w:rPr>
          <w:rFonts w:cs="Calibri"/>
          <w:sz w:val="24"/>
          <w:szCs w:val="24"/>
        </w:rPr>
      </w:pPr>
      <w:r w:rsidRPr="00F81485">
        <w:rPr>
          <w:rFonts w:cs="Calibri"/>
          <w:sz w:val="24"/>
          <w:szCs w:val="24"/>
        </w:rPr>
        <w:t>24 hours for online tuiti</w:t>
      </w:r>
      <w:r>
        <w:rPr>
          <w:rFonts w:cs="Calibri"/>
          <w:sz w:val="24"/>
          <w:szCs w:val="24"/>
        </w:rPr>
        <w:t>on</w:t>
      </w:r>
    </w:p>
    <w:p w:rsidR="0049244C" w:rsidRPr="00F81485" w:rsidRDefault="0049244C" w:rsidP="00F81485">
      <w:pPr>
        <w:numPr>
          <w:ilvl w:val="0"/>
          <w:numId w:val="1"/>
        </w:numPr>
        <w:jc w:val="both"/>
        <w:rPr>
          <w:rFonts w:cs="Calibri"/>
          <w:sz w:val="24"/>
          <w:szCs w:val="24"/>
        </w:rPr>
      </w:pPr>
      <w:r w:rsidRPr="00F81485">
        <w:rPr>
          <w:rFonts w:cs="Calibri"/>
          <w:sz w:val="24"/>
          <w:szCs w:val="24"/>
        </w:rPr>
        <w:t>48–72 hours for face-to-face sessions (if alternative venue required).</w:t>
      </w:r>
    </w:p>
    <w:p w:rsidR="0049244C" w:rsidRPr="00F81485" w:rsidRDefault="0049244C" w:rsidP="00F81485">
      <w:pPr>
        <w:numPr>
          <w:ilvl w:val="0"/>
          <w:numId w:val="1"/>
        </w:numPr>
        <w:jc w:val="both"/>
        <w:rPr>
          <w:rFonts w:cs="Calibri"/>
          <w:sz w:val="24"/>
          <w:szCs w:val="24"/>
        </w:rPr>
      </w:pPr>
      <w:r w:rsidRPr="00F81485">
        <w:rPr>
          <w:rFonts w:cs="Calibri"/>
          <w:sz w:val="24"/>
          <w:szCs w:val="24"/>
        </w:rPr>
        <w:t>Review disruption, log lessons learned, and update BCP accordingly.</w:t>
      </w:r>
    </w:p>
    <w:p w:rsidR="0049244C" w:rsidRPr="00F81485" w:rsidRDefault="0049244C" w:rsidP="00F81485">
      <w:pPr>
        <w:pStyle w:val="Heading1"/>
        <w:jc w:val="both"/>
        <w:rPr>
          <w:rFonts w:cs="Calibri"/>
          <w:color w:val="auto"/>
        </w:rPr>
      </w:pPr>
      <w:r w:rsidRPr="00F81485">
        <w:rPr>
          <w:rFonts w:cs="Calibri"/>
          <w:color w:val="auto"/>
        </w:rPr>
        <w:t>8. Testing &amp; Training</w:t>
      </w:r>
    </w:p>
    <w:p w:rsidR="0049244C" w:rsidRPr="00F81485" w:rsidRDefault="0049244C" w:rsidP="00F81485">
      <w:pPr>
        <w:numPr>
          <w:ilvl w:val="0"/>
          <w:numId w:val="1"/>
        </w:numPr>
        <w:jc w:val="both"/>
        <w:rPr>
          <w:rFonts w:cs="Calibri"/>
          <w:sz w:val="24"/>
          <w:szCs w:val="24"/>
        </w:rPr>
      </w:pPr>
      <w:r>
        <w:rPr>
          <w:rFonts w:cs="Calibri"/>
          <w:sz w:val="24"/>
          <w:szCs w:val="24"/>
        </w:rPr>
        <w:t>This plan is reviewed annually and shared with staff through Bright HR</w:t>
      </w:r>
    </w:p>
    <w:p w:rsidR="0049244C" w:rsidRPr="00F81485" w:rsidRDefault="0049244C" w:rsidP="00F81485">
      <w:pPr>
        <w:numPr>
          <w:ilvl w:val="0"/>
          <w:numId w:val="1"/>
        </w:numPr>
        <w:jc w:val="both"/>
        <w:rPr>
          <w:rFonts w:cs="Calibri"/>
          <w:sz w:val="24"/>
          <w:szCs w:val="24"/>
        </w:rPr>
      </w:pPr>
      <w:r w:rsidRPr="00F81485">
        <w:rPr>
          <w:rFonts w:cs="Calibri"/>
          <w:sz w:val="24"/>
          <w:szCs w:val="24"/>
        </w:rPr>
        <w:t>Ensure all tutors know communication protocols and safeguarding procedures.</w:t>
      </w:r>
    </w:p>
    <w:p w:rsidR="0049244C" w:rsidRPr="00F81485" w:rsidRDefault="0049244C" w:rsidP="00F81485">
      <w:pPr>
        <w:jc w:val="both"/>
        <w:rPr>
          <w:rFonts w:cs="Calibri"/>
        </w:rPr>
      </w:pPr>
    </w:p>
    <w:sectPr w:rsidR="0049244C" w:rsidRPr="00F81485" w:rsidSect="00912CFD">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4C" w:rsidRDefault="0049244C" w:rsidP="00B64D94">
      <w:pPr>
        <w:spacing w:after="0" w:line="240" w:lineRule="auto"/>
      </w:pPr>
      <w:r>
        <w:separator/>
      </w:r>
    </w:p>
  </w:endnote>
  <w:endnote w:type="continuationSeparator" w:id="0">
    <w:p w:rsidR="0049244C" w:rsidRDefault="0049244C"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4C" w:rsidRDefault="0049244C" w:rsidP="00B64D94">
    <w:pPr>
      <w:pStyle w:val="Footer"/>
      <w:rPr>
        <w:color w:val="00B050"/>
      </w:rPr>
    </w:pPr>
    <w:r>
      <w:rPr>
        <w:color w:val="00B050"/>
      </w:rPr>
      <w:t>Positive Progress Tuition                                                                    T: 0151 226 2749</w:t>
    </w:r>
  </w:p>
  <w:p w:rsidR="0049244C" w:rsidRDefault="0049244C" w:rsidP="00B64D94">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49244C" w:rsidRDefault="0049244C"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49244C" w:rsidRDefault="0049244C" w:rsidP="00B64D94">
    <w:pPr>
      <w:pStyle w:val="Footer"/>
      <w:rPr>
        <w:color w:val="00B050"/>
      </w:rPr>
    </w:pPr>
    <w:smartTag w:uri="urn:schemas-microsoft-com:office:smarttags" w:element="place">
      <w:r>
        <w:rPr>
          <w:color w:val="00B050"/>
        </w:rPr>
        <w:t>Liverpool</w:t>
      </w:r>
    </w:smartTag>
  </w:p>
  <w:p w:rsidR="0049244C" w:rsidRDefault="0049244C" w:rsidP="00B64D94">
    <w:pPr>
      <w:pStyle w:val="Footer"/>
      <w:rPr>
        <w:color w:val="00B050"/>
      </w:rPr>
    </w:pPr>
    <w:r>
      <w:rPr>
        <w:color w:val="00B050"/>
      </w:rPr>
      <w:t>L12 7HZ</w:t>
    </w:r>
  </w:p>
  <w:p w:rsidR="0049244C" w:rsidRDefault="00492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4C" w:rsidRDefault="0049244C" w:rsidP="00B64D94">
      <w:pPr>
        <w:spacing w:after="0" w:line="240" w:lineRule="auto"/>
      </w:pPr>
      <w:r>
        <w:separator/>
      </w:r>
    </w:p>
  </w:footnote>
  <w:footnote w:type="continuationSeparator" w:id="0">
    <w:p w:rsidR="0049244C" w:rsidRDefault="0049244C"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448F8"/>
    <w:multiLevelType w:val="hybridMultilevel"/>
    <w:tmpl w:val="BDC0E666"/>
    <w:lvl w:ilvl="0" w:tplc="04100001">
      <w:start w:val="1"/>
      <w:numFmt w:val="bullet"/>
      <w:lvlText w:val=""/>
      <w:lvlJc w:val="left"/>
      <w:pPr>
        <w:tabs>
          <w:tab w:val="num" w:pos="1620"/>
        </w:tabs>
        <w:ind w:left="1620" w:hanging="360"/>
      </w:pPr>
      <w:rPr>
        <w:rFonts w:ascii="Symbol" w:hAnsi="Symbol" w:hint="default"/>
      </w:rPr>
    </w:lvl>
    <w:lvl w:ilvl="1" w:tplc="340C292E">
      <w:numFmt w:val="bullet"/>
      <w:lvlText w:val="-"/>
      <w:lvlJc w:val="left"/>
      <w:pPr>
        <w:tabs>
          <w:tab w:val="num" w:pos="2160"/>
        </w:tabs>
        <w:ind w:left="2160" w:hanging="360"/>
      </w:pPr>
      <w:rPr>
        <w:rFonts w:ascii="Calibri" w:eastAsia="Times New Roman" w:hAnsi="Calibri"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0578E"/>
    <w:rsid w:val="00060896"/>
    <w:rsid w:val="0007126B"/>
    <w:rsid w:val="000C30C7"/>
    <w:rsid w:val="000C5291"/>
    <w:rsid w:val="00104531"/>
    <w:rsid w:val="001201A9"/>
    <w:rsid w:val="00123B15"/>
    <w:rsid w:val="001275BE"/>
    <w:rsid w:val="00140EEA"/>
    <w:rsid w:val="00140FC2"/>
    <w:rsid w:val="001477CE"/>
    <w:rsid w:val="001556F5"/>
    <w:rsid w:val="0017243C"/>
    <w:rsid w:val="0017431F"/>
    <w:rsid w:val="0019008A"/>
    <w:rsid w:val="001967CD"/>
    <w:rsid w:val="001A0F29"/>
    <w:rsid w:val="001A18E4"/>
    <w:rsid w:val="001D677F"/>
    <w:rsid w:val="00202794"/>
    <w:rsid w:val="002152DD"/>
    <w:rsid w:val="002173F6"/>
    <w:rsid w:val="00221221"/>
    <w:rsid w:val="002327F7"/>
    <w:rsid w:val="002D1FEF"/>
    <w:rsid w:val="002D3F2A"/>
    <w:rsid w:val="002E5F63"/>
    <w:rsid w:val="002F1CE2"/>
    <w:rsid w:val="002F6950"/>
    <w:rsid w:val="00304FAC"/>
    <w:rsid w:val="003135F8"/>
    <w:rsid w:val="00323AD8"/>
    <w:rsid w:val="003365EE"/>
    <w:rsid w:val="00355059"/>
    <w:rsid w:val="00370075"/>
    <w:rsid w:val="00373F03"/>
    <w:rsid w:val="003A4D6D"/>
    <w:rsid w:val="003C7CE4"/>
    <w:rsid w:val="003D4951"/>
    <w:rsid w:val="004212EE"/>
    <w:rsid w:val="0043745E"/>
    <w:rsid w:val="004524FA"/>
    <w:rsid w:val="00453CBE"/>
    <w:rsid w:val="00474DB5"/>
    <w:rsid w:val="00476E79"/>
    <w:rsid w:val="0049244C"/>
    <w:rsid w:val="00496942"/>
    <w:rsid w:val="004A15DE"/>
    <w:rsid w:val="004B2F85"/>
    <w:rsid w:val="004D2A39"/>
    <w:rsid w:val="004D339F"/>
    <w:rsid w:val="00511F0C"/>
    <w:rsid w:val="005946E6"/>
    <w:rsid w:val="005B4FE9"/>
    <w:rsid w:val="005C561B"/>
    <w:rsid w:val="005D3B66"/>
    <w:rsid w:val="005E7AAC"/>
    <w:rsid w:val="005F56D6"/>
    <w:rsid w:val="00606210"/>
    <w:rsid w:val="00671C05"/>
    <w:rsid w:val="00677B48"/>
    <w:rsid w:val="006973E6"/>
    <w:rsid w:val="006B5395"/>
    <w:rsid w:val="006D1481"/>
    <w:rsid w:val="0072692D"/>
    <w:rsid w:val="007633C3"/>
    <w:rsid w:val="00781412"/>
    <w:rsid w:val="007922C8"/>
    <w:rsid w:val="007D7526"/>
    <w:rsid w:val="007E199C"/>
    <w:rsid w:val="007E7AE6"/>
    <w:rsid w:val="007F72F0"/>
    <w:rsid w:val="00807C4C"/>
    <w:rsid w:val="00816F35"/>
    <w:rsid w:val="00830178"/>
    <w:rsid w:val="0085195E"/>
    <w:rsid w:val="00856D94"/>
    <w:rsid w:val="00896126"/>
    <w:rsid w:val="008B6B37"/>
    <w:rsid w:val="008E60F1"/>
    <w:rsid w:val="008F45E7"/>
    <w:rsid w:val="00912CFD"/>
    <w:rsid w:val="009172FD"/>
    <w:rsid w:val="00923520"/>
    <w:rsid w:val="0093239A"/>
    <w:rsid w:val="00936C62"/>
    <w:rsid w:val="009422B5"/>
    <w:rsid w:val="009605D9"/>
    <w:rsid w:val="0096216A"/>
    <w:rsid w:val="0097005C"/>
    <w:rsid w:val="00983CAD"/>
    <w:rsid w:val="009C79E5"/>
    <w:rsid w:val="009D148A"/>
    <w:rsid w:val="009E1547"/>
    <w:rsid w:val="00A13EEC"/>
    <w:rsid w:val="00A4098D"/>
    <w:rsid w:val="00A5070F"/>
    <w:rsid w:val="00A709E2"/>
    <w:rsid w:val="00A809E1"/>
    <w:rsid w:val="00A93618"/>
    <w:rsid w:val="00AF40EB"/>
    <w:rsid w:val="00B17F8F"/>
    <w:rsid w:val="00B20F92"/>
    <w:rsid w:val="00B34D37"/>
    <w:rsid w:val="00B37CDA"/>
    <w:rsid w:val="00B57BE1"/>
    <w:rsid w:val="00B64D94"/>
    <w:rsid w:val="00B765C0"/>
    <w:rsid w:val="00BA4EE3"/>
    <w:rsid w:val="00BF2CDB"/>
    <w:rsid w:val="00C00233"/>
    <w:rsid w:val="00C01AF1"/>
    <w:rsid w:val="00C122C2"/>
    <w:rsid w:val="00C2784C"/>
    <w:rsid w:val="00C43FDF"/>
    <w:rsid w:val="00C53080"/>
    <w:rsid w:val="00CB687D"/>
    <w:rsid w:val="00CD002A"/>
    <w:rsid w:val="00CD7A2C"/>
    <w:rsid w:val="00D1586A"/>
    <w:rsid w:val="00D228D9"/>
    <w:rsid w:val="00D510B1"/>
    <w:rsid w:val="00D54BDA"/>
    <w:rsid w:val="00D648F1"/>
    <w:rsid w:val="00D80773"/>
    <w:rsid w:val="00DA0A9E"/>
    <w:rsid w:val="00DD4055"/>
    <w:rsid w:val="00E17F72"/>
    <w:rsid w:val="00E57605"/>
    <w:rsid w:val="00E6497B"/>
    <w:rsid w:val="00E91E66"/>
    <w:rsid w:val="00EF4F57"/>
    <w:rsid w:val="00F13FA1"/>
    <w:rsid w:val="00F161D5"/>
    <w:rsid w:val="00F42188"/>
    <w:rsid w:val="00F81485"/>
    <w:rsid w:val="00F852A2"/>
    <w:rsid w:val="00FA0CFE"/>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E4"/>
    <w:pPr>
      <w:spacing w:after="160" w:line="259" w:lineRule="auto"/>
    </w:pPr>
    <w:rPr>
      <w:lang w:val="en-GB"/>
    </w:rPr>
  </w:style>
  <w:style w:type="paragraph" w:styleId="Heading1">
    <w:name w:val="heading 1"/>
    <w:basedOn w:val="Normal"/>
    <w:next w:val="Normal"/>
    <w:link w:val="Heading1Char"/>
    <w:uiPriority w:val="99"/>
    <w:qFormat/>
    <w:locked/>
    <w:rsid w:val="00F81485"/>
    <w:pPr>
      <w:keepNext/>
      <w:keepLines/>
      <w:spacing w:before="480" w:after="0" w:line="276" w:lineRule="auto"/>
      <w:outlineLvl w:val="0"/>
    </w:pPr>
    <w:rPr>
      <w:rFonts w:eastAsia="MS Gothi"/>
      <w:b/>
      <w:bCs/>
      <w:color w:val="365F91"/>
      <w:sz w:val="28"/>
      <w:szCs w:val="28"/>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1485"/>
    <w:rPr>
      <w:rFonts w:ascii="Calibri" w:eastAsia="MS Gothi" w:hAnsi="Calibri" w:cs="Times New Roman"/>
      <w:b/>
      <w:bCs/>
      <w:color w:val="365F91"/>
      <w:sz w:val="28"/>
      <w:szCs w:val="28"/>
      <w:lang w:val="en-US" w:eastAsia="en-US" w:bidi="ar-SA"/>
    </w:rPr>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524FA"/>
    <w:pPr>
      <w:widowControl w:val="0"/>
      <w:autoSpaceDE w:val="0"/>
      <w:autoSpaceDN w:val="0"/>
      <w:spacing w:after="0" w:line="240" w:lineRule="auto"/>
    </w:pPr>
    <w:rPr>
      <w:rFonts w:cs="Calibri"/>
      <w:lang w:val="en-US"/>
    </w:rPr>
  </w:style>
  <w:style w:type="table" w:styleId="TableGrid">
    <w:name w:val="Table Grid"/>
    <w:basedOn w:val="TableNormal"/>
    <w:uiPriority w:val="99"/>
    <w:locked/>
    <w:rsid w:val="00E91E66"/>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81412"/>
    <w:pPr>
      <w:spacing w:before="100" w:beforeAutospacing="1" w:after="100" w:afterAutospacing="1" w:line="240" w:lineRule="auto"/>
    </w:pPr>
    <w:rPr>
      <w:rFonts w:ascii="Times New Roman" w:hAnsi="Times New Roman"/>
      <w:sz w:val="24"/>
      <w:szCs w:val="24"/>
      <w:lang w:val="it-IT" w:eastAsia="it-IT"/>
    </w:rPr>
  </w:style>
  <w:style w:type="character" w:styleId="Hyperlink">
    <w:name w:val="Hyperlink"/>
    <w:basedOn w:val="DefaultParagraphFont"/>
    <w:uiPriority w:val="99"/>
    <w:rsid w:val="00A4098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06328239">
      <w:marLeft w:val="0"/>
      <w:marRight w:val="0"/>
      <w:marTop w:val="0"/>
      <w:marBottom w:val="0"/>
      <w:divBdr>
        <w:top w:val="none" w:sz="0" w:space="0" w:color="auto"/>
        <w:left w:val="none" w:sz="0" w:space="0" w:color="auto"/>
        <w:bottom w:val="none" w:sz="0" w:space="0" w:color="auto"/>
        <w:right w:val="none" w:sz="0" w:space="0" w:color="auto"/>
      </w:divBdr>
    </w:div>
    <w:div w:id="1206328240">
      <w:marLeft w:val="0"/>
      <w:marRight w:val="0"/>
      <w:marTop w:val="0"/>
      <w:marBottom w:val="0"/>
      <w:divBdr>
        <w:top w:val="none" w:sz="0" w:space="0" w:color="auto"/>
        <w:left w:val="none" w:sz="0" w:space="0" w:color="auto"/>
        <w:bottom w:val="none" w:sz="0" w:space="0" w:color="auto"/>
        <w:right w:val="none" w:sz="0" w:space="0" w:color="auto"/>
      </w:divBdr>
    </w:div>
    <w:div w:id="1206328241">
      <w:marLeft w:val="0"/>
      <w:marRight w:val="0"/>
      <w:marTop w:val="0"/>
      <w:marBottom w:val="0"/>
      <w:divBdr>
        <w:top w:val="none" w:sz="0" w:space="0" w:color="auto"/>
        <w:left w:val="none" w:sz="0" w:space="0" w:color="auto"/>
        <w:bottom w:val="none" w:sz="0" w:space="0" w:color="auto"/>
        <w:right w:val="none" w:sz="0" w:space="0" w:color="auto"/>
      </w:divBdr>
    </w:div>
    <w:div w:id="1206328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635</TotalTime>
  <Pages>4</Pages>
  <Words>424</Words>
  <Characters>2423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42</cp:revision>
  <cp:lastPrinted>2021-04-21T07:43:00Z</cp:lastPrinted>
  <dcterms:created xsi:type="dcterms:W3CDTF">2023-06-06T14:01:00Z</dcterms:created>
  <dcterms:modified xsi:type="dcterms:W3CDTF">2025-10-06T10:55:00Z</dcterms:modified>
</cp:coreProperties>
</file>